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Örebro kommunfullmäktige</w:t>
      </w:r>
    </w:p>
    <w:p>
      <w:pPr>
        <w:pStyle w:val="Heading1"/>
      </w:pPr>
      <w:r>
        <w:t xml:space="preserve">Förebyggande insatser för ungdomar i Örebro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Örebro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Ungdomsbrottsligheten ökar i Örebro enligt Brå. Föreningsliv och idrott kan fungera som skyddsfaktorer. Idag saknas en samlad strategi för fritidsverksamhet i utsatta områden.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Örebro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inrätta ett ungdomsråd med representation från idrotts- och kulturföreningar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minst 10 miljoner kronor avsätts årligen till förebyggande fritidsverksamhet i Vivalla, Oxhagen och Brickebacken.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verksamheten ska utvärderas efter två år.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samverkan med Polisen och socialtjänsten ska ske kontinuerligt.</w:t>
      </w:r>
    </w:p>
    <w:p>
      <w:pPr>
        <w:spacing w:before="360"/>
      </w:pPr>
    </w:p>
    <w:p>
      <w:r>
        <w:t xml:space="preserve">Örebro,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Örebro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2026-06-06T01:48:34.556Z</dcterms:created>
  <dcterms:modified xsi:type="dcterms:W3CDTF">2026-06-06T01:48:34.556Z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